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Autospacing="0" w:afterAutospacing="0" w:line="560" w:lineRule="exact"/>
        <w:jc w:val="both"/>
        <w:rPr>
          <w:rFonts w:hint="eastAsia" w:ascii="CESI黑体-GB2312" w:hAnsi="CESI黑体-GB2312" w:eastAsia="CESI黑体-GB2312" w:cs="CESI黑体-GB2312"/>
          <w:b w:val="0"/>
          <w:color w:val="auto"/>
          <w:kern w:val="2"/>
          <w:sz w:val="32"/>
          <w:szCs w:val="32"/>
          <w:lang w:val="en-US" w:eastAsia="zh-CN" w:bidi="ar-SA"/>
        </w:rPr>
      </w:pPr>
      <w:r>
        <w:rPr>
          <w:rFonts w:hint="eastAsia" w:ascii="CESI黑体-GB2312" w:hAnsi="CESI黑体-GB2312" w:eastAsia="CESI黑体-GB2312" w:cs="CESI黑体-GB2312"/>
          <w:b w:val="0"/>
          <w:color w:val="auto"/>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0"/>
        <w:rPr>
          <w:rFonts w:hint="eastAsia" w:ascii="Times New Roman" w:hAnsi="Times New Roman" w:eastAsia="方正小标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0"/>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val="en-US" w:eastAsia="zh-CN"/>
        </w:rPr>
        <w:t>2025</w:t>
      </w:r>
      <w:r>
        <w:rPr>
          <w:rFonts w:hint="eastAsia" w:ascii="方正小标宋简体" w:hAnsi="方正小标宋简体" w:eastAsia="方正小标宋简体" w:cs="方正小标宋简体"/>
          <w:sz w:val="44"/>
          <w:szCs w:val="44"/>
          <w:lang w:val="en-US" w:eastAsia="zh-CN"/>
        </w:rPr>
        <w:t>年度宁波</w:t>
      </w:r>
      <w:r>
        <w:rPr>
          <w:rFonts w:hint="default" w:ascii="Times New Roman" w:hAnsi="Times New Roman" w:eastAsia="方正小标宋简体" w:cs="Times New Roman"/>
          <w:sz w:val="44"/>
          <w:szCs w:val="44"/>
          <w:lang w:val="en-US" w:eastAsia="zh-CN"/>
        </w:rPr>
        <w:t>市</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val="en-US" w:eastAsia="zh-CN"/>
        </w:rPr>
        <w:t>三农</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eastAsia="zh-CN"/>
        </w:rPr>
        <w:t>课题研究指南</w:t>
      </w:r>
    </w:p>
    <w:p>
      <w:pPr>
        <w:rPr>
          <w:rFonts w:hint="eastAsia" w:ascii="CESI楷体-GB2312" w:hAnsi="CESI楷体-GB2312" w:eastAsia="CESI楷体-GB2312" w:cs="CESI楷体-GB2312"/>
          <w:b w:val="0"/>
          <w:bCs w:val="0"/>
          <w:sz w:val="28"/>
          <w:szCs w:val="28"/>
          <w:lang w:eastAsia="zh-CN"/>
        </w:rPr>
      </w:pPr>
    </w:p>
    <w:p>
      <w:pPr>
        <w:ind w:firstLine="640" w:firstLineChars="200"/>
        <w:rPr>
          <w:rFonts w:hint="eastAsia" w:ascii="CESI黑体-GB2312" w:hAnsi="CESI黑体-GB2312" w:eastAsia="CESI黑体-GB2312" w:cs="CESI黑体-GB2312"/>
          <w:b w:val="0"/>
          <w:bCs w:val="0"/>
          <w:sz w:val="32"/>
          <w:szCs w:val="32"/>
          <w:lang w:eastAsia="zh-CN"/>
        </w:rPr>
      </w:pPr>
      <w:r>
        <w:rPr>
          <w:rFonts w:hint="eastAsia" w:ascii="CESI黑体-GB2312" w:hAnsi="CESI黑体-GB2312" w:eastAsia="CESI黑体-GB2312" w:cs="CESI黑体-GB2312"/>
          <w:b w:val="0"/>
          <w:bCs w:val="0"/>
          <w:sz w:val="32"/>
          <w:szCs w:val="32"/>
          <w:lang w:eastAsia="zh-CN"/>
        </w:rPr>
        <w:t>一、重点课题</w:t>
      </w:r>
    </w:p>
    <w:p>
      <w:pPr>
        <w:numPr>
          <w:ilvl w:val="0"/>
          <w:numId w:val="0"/>
        </w:numPr>
        <w:ind w:firstLine="642" w:firstLineChars="200"/>
        <w:jc w:val="both"/>
        <w:rPr>
          <w:rFonts w:hint="eastAsia" w:ascii="方正楷体_GBK" w:hAnsi="方正楷体_GBK" w:eastAsia="方正楷体_GBK" w:cs="方正楷体_GBK"/>
          <w:b/>
          <w:bCs/>
          <w:sz w:val="32"/>
          <w:szCs w:val="24"/>
          <w:lang w:val="en-US" w:eastAsia="zh-CN"/>
        </w:rPr>
      </w:pPr>
      <w:r>
        <w:rPr>
          <w:rFonts w:hint="eastAsia" w:ascii="方正楷体_GBK" w:hAnsi="方正楷体_GBK" w:eastAsia="方正楷体_GBK" w:cs="方正楷体_GBK"/>
          <w:b/>
          <w:bCs/>
          <w:sz w:val="32"/>
          <w:szCs w:val="24"/>
          <w:lang w:val="en-US" w:eastAsia="zh-CN"/>
        </w:rPr>
        <w:t>（一）着力推进宁波市农村居民收入持续增长的对策及机制研究</w:t>
      </w:r>
    </w:p>
    <w:p>
      <w:pPr>
        <w:pStyle w:val="7"/>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outlineLvl w:val="0"/>
        <w:rPr>
          <w:rFonts w:hint="eastAsia" w:ascii="方正楷体_GBK" w:hAnsi="方正楷体_GBK" w:eastAsia="方正楷体_GBK" w:cs="方正楷体_GBK"/>
          <w:b/>
          <w:bCs/>
          <w:sz w:val="32"/>
          <w:szCs w:val="24"/>
          <w:lang w:val="en-US" w:eastAsia="zh-CN"/>
        </w:rPr>
      </w:pPr>
      <w:r>
        <w:rPr>
          <w:rFonts w:hint="default" w:ascii="Times New Roman" w:hAnsi="Times New Roman" w:eastAsia="CESI黑体-GB2312" w:cs="Times New Roman"/>
          <w:color w:val="auto"/>
          <w:kern w:val="2"/>
          <w:sz w:val="32"/>
          <w:szCs w:val="32"/>
          <w:lang w:val="en-US" w:eastAsia="zh-CN" w:bidi="ar-SA"/>
        </w:rPr>
        <w:t>（课题编号NBSN202</w:t>
      </w:r>
      <w:r>
        <w:rPr>
          <w:rFonts w:hint="eastAsia" w:ascii="Times New Roman" w:hAnsi="Times New Roman" w:eastAsia="CESI黑体-GB2312" w:cs="Times New Roman"/>
          <w:color w:val="auto"/>
          <w:kern w:val="2"/>
          <w:sz w:val="32"/>
          <w:szCs w:val="32"/>
          <w:lang w:val="en-US" w:eastAsia="zh-CN" w:bidi="ar-SA"/>
        </w:rPr>
        <w:t>5</w:t>
      </w:r>
      <w:r>
        <w:rPr>
          <w:rFonts w:hint="default" w:ascii="Times New Roman" w:hAnsi="Times New Roman" w:eastAsia="CESI黑体-GB2312" w:cs="Times New Roman"/>
          <w:color w:val="auto"/>
          <w:kern w:val="2"/>
          <w:sz w:val="32"/>
          <w:szCs w:val="32"/>
          <w:lang w:val="en-US" w:eastAsia="zh-CN" w:bidi="ar-SA"/>
        </w:rPr>
        <w:t>010</w:t>
      </w:r>
      <w:r>
        <w:rPr>
          <w:rFonts w:hint="eastAsia" w:ascii="Times New Roman" w:hAnsi="Times New Roman" w:eastAsia="CESI黑体-GB2312" w:cs="Times New Roman"/>
          <w:color w:val="auto"/>
          <w:kern w:val="2"/>
          <w:sz w:val="32"/>
          <w:szCs w:val="32"/>
          <w:lang w:val="en-US" w:eastAsia="zh-CN" w:bidi="ar-SA"/>
        </w:rPr>
        <w:t>1</w:t>
      </w:r>
      <w:r>
        <w:rPr>
          <w:rFonts w:hint="default" w:ascii="Times New Roman" w:hAnsi="Times New Roman" w:eastAsia="CESI黑体-GB2312" w:cs="Times New Roman"/>
          <w:color w:val="auto"/>
          <w:kern w:val="2"/>
          <w:sz w:val="32"/>
          <w:szCs w:val="32"/>
          <w:lang w:val="en-US" w:eastAsia="zh-CN" w:bidi="ar-SA"/>
        </w:rPr>
        <w:t>）</w:t>
      </w:r>
    </w:p>
    <w:p>
      <w:pPr>
        <w:widowControl w:val="0"/>
        <w:numPr>
          <w:ilvl w:val="0"/>
          <w:numId w:val="0"/>
        </w:numPr>
        <w:ind w:firstLine="640" w:firstLineChars="200"/>
        <w:jc w:val="both"/>
        <w:rPr>
          <w:rFonts w:hint="eastAsia" w:ascii="CESI黑体-GB2312" w:hAnsi="CESI黑体-GB2312" w:eastAsia="CESI黑体-GB2312" w:cs="CESI黑体-GB2312"/>
          <w:sz w:val="32"/>
          <w:szCs w:val="24"/>
          <w:lang w:val="en-US" w:eastAsia="zh-CN"/>
        </w:rPr>
      </w:pPr>
      <w:r>
        <w:rPr>
          <w:rFonts w:hint="eastAsia" w:ascii="CESI仿宋-GB2312" w:hAnsi="CESI仿宋-GB2312" w:eastAsia="CESI仿宋-GB2312" w:cs="CESI仿宋-GB2312"/>
          <w:sz w:val="32"/>
          <w:szCs w:val="24"/>
          <w:lang w:val="en-US" w:eastAsia="zh-CN"/>
        </w:rPr>
        <w:t>立足建设共同富裕先行示范区的新使命，在政策梳理和全面调研的基础上，重点分析宁波市农村居民的收入水平、结构、来源、变化趋势、区域差异等现实情况，系统性总结我市促进农民持续增收的多元路径与机制做法，研判不同类型收入持续增长面临的机遇与挑战，提出新发展阶段下促进农村居民收入有效持续增长的政策建议与长效机制。</w:t>
      </w:r>
    </w:p>
    <w:p>
      <w:pPr>
        <w:numPr>
          <w:ilvl w:val="0"/>
          <w:numId w:val="1"/>
        </w:numPr>
        <w:ind w:firstLine="642" w:firstLineChars="200"/>
        <w:jc w:val="both"/>
        <w:rPr>
          <w:rFonts w:hint="eastAsia" w:ascii="方正楷体_GBK" w:hAnsi="方正楷体_GBK" w:eastAsia="方正楷体_GBK" w:cs="方正楷体_GBK"/>
          <w:b/>
          <w:bCs/>
          <w:sz w:val="32"/>
          <w:szCs w:val="24"/>
          <w:lang w:val="en-US" w:eastAsia="zh-CN"/>
        </w:rPr>
      </w:pPr>
      <w:r>
        <w:rPr>
          <w:rFonts w:hint="eastAsia" w:ascii="方正楷体_GBK" w:hAnsi="方正楷体_GBK" w:eastAsia="方正楷体_GBK" w:cs="方正楷体_GBK"/>
          <w:b/>
          <w:bCs/>
          <w:sz w:val="32"/>
          <w:szCs w:val="24"/>
          <w:lang w:val="en-US" w:eastAsia="zh-CN"/>
        </w:rPr>
        <w:t>探索宁波种业“硅谷”建设：基于优势挖掘与瓶颈突破的路径研究</w:t>
      </w:r>
    </w:p>
    <w:p>
      <w:pPr>
        <w:pStyle w:val="7"/>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outlineLvl w:val="0"/>
        <w:rPr>
          <w:rFonts w:hint="eastAsia" w:ascii="方正楷体_GBK" w:hAnsi="方正楷体_GBK" w:eastAsia="方正楷体_GBK" w:cs="方正楷体_GBK"/>
          <w:b/>
          <w:bCs/>
          <w:sz w:val="32"/>
          <w:szCs w:val="24"/>
          <w:lang w:val="en-US" w:eastAsia="zh-CN"/>
        </w:rPr>
      </w:pPr>
      <w:r>
        <w:rPr>
          <w:rFonts w:hint="default" w:ascii="Times New Roman" w:hAnsi="Times New Roman" w:eastAsia="CESI黑体-GB2312" w:cs="Times New Roman"/>
          <w:color w:val="auto"/>
          <w:kern w:val="2"/>
          <w:sz w:val="32"/>
          <w:szCs w:val="32"/>
          <w:lang w:val="en-US" w:eastAsia="zh-CN" w:bidi="ar-SA"/>
        </w:rPr>
        <w:t>（课题编号NBSN202</w:t>
      </w:r>
      <w:r>
        <w:rPr>
          <w:rFonts w:hint="eastAsia" w:ascii="Times New Roman" w:hAnsi="Times New Roman" w:eastAsia="CESI黑体-GB2312" w:cs="Times New Roman"/>
          <w:color w:val="auto"/>
          <w:kern w:val="2"/>
          <w:sz w:val="32"/>
          <w:szCs w:val="32"/>
          <w:lang w:val="en-US" w:eastAsia="zh-CN" w:bidi="ar-SA"/>
        </w:rPr>
        <w:t>5</w:t>
      </w:r>
      <w:r>
        <w:rPr>
          <w:rFonts w:hint="default" w:ascii="Times New Roman" w:hAnsi="Times New Roman" w:eastAsia="CESI黑体-GB2312" w:cs="Times New Roman"/>
          <w:color w:val="auto"/>
          <w:kern w:val="2"/>
          <w:sz w:val="32"/>
          <w:szCs w:val="32"/>
          <w:lang w:val="en-US" w:eastAsia="zh-CN" w:bidi="ar-SA"/>
        </w:rPr>
        <w:t>010</w:t>
      </w:r>
      <w:r>
        <w:rPr>
          <w:rFonts w:hint="eastAsia" w:ascii="Times New Roman" w:hAnsi="Times New Roman" w:eastAsia="CESI黑体-GB2312" w:cs="Times New Roman"/>
          <w:color w:val="auto"/>
          <w:kern w:val="2"/>
          <w:sz w:val="32"/>
          <w:szCs w:val="32"/>
          <w:lang w:val="en-US" w:eastAsia="zh-CN" w:bidi="ar-SA"/>
        </w:rPr>
        <w:t>2</w:t>
      </w:r>
      <w:r>
        <w:rPr>
          <w:rFonts w:hint="default" w:ascii="Times New Roman" w:hAnsi="Times New Roman" w:eastAsia="CESI黑体-GB2312" w:cs="Times New Roman"/>
          <w:color w:val="auto"/>
          <w:kern w:val="2"/>
          <w:sz w:val="32"/>
          <w:szCs w:val="32"/>
          <w:lang w:val="en-US" w:eastAsia="zh-CN" w:bidi="ar-SA"/>
        </w:rPr>
        <w:t>）</w:t>
      </w:r>
    </w:p>
    <w:p>
      <w:pPr>
        <w:widowControl w:val="0"/>
        <w:numPr>
          <w:ilvl w:val="0"/>
          <w:numId w:val="0"/>
        </w:numPr>
        <w:ind w:leftChars="0" w:firstLine="640" w:firstLineChars="200"/>
        <w:jc w:val="both"/>
        <w:rPr>
          <w:rFonts w:hint="eastAsia" w:ascii="CESI黑体-GB2312" w:hAnsi="CESI黑体-GB2312" w:eastAsia="CESI黑体-GB2312" w:cs="CESI黑体-GB2312"/>
          <w:sz w:val="32"/>
          <w:szCs w:val="24"/>
          <w:lang w:val="en-US" w:eastAsia="zh-CN"/>
        </w:rPr>
      </w:pPr>
      <w:r>
        <w:rPr>
          <w:rFonts w:hint="eastAsia" w:ascii="CESI仿宋-GB2312" w:hAnsi="CESI仿宋-GB2312" w:eastAsia="CESI仿宋-GB2312" w:cs="CESI仿宋-GB2312"/>
          <w:sz w:val="32"/>
          <w:szCs w:val="24"/>
          <w:lang w:val="en-US" w:eastAsia="zh-CN"/>
        </w:rPr>
        <w:t>全面梳理宁波市种业发展态势、产业空间布局及各环节协同发展模式，分析目前宁波种业产业链的育种、扩繁、加工、销售等各环节现状。通过总结国内外打造现代种业产业集群、种业产业园区、种业强市等政策机制，分析不同政策对种业发展的激励与约束效应以及目前种业发展瓶颈，研究提出宁波市种业“硅谷”建设的长远总体目标、分阶段实施目标及针对性的政策建议。</w:t>
      </w:r>
    </w:p>
    <w:p>
      <w:pPr>
        <w:numPr>
          <w:ilvl w:val="0"/>
          <w:numId w:val="1"/>
        </w:numPr>
        <w:ind w:left="0" w:leftChars="0" w:firstLine="642" w:firstLineChars="200"/>
        <w:jc w:val="both"/>
        <w:rPr>
          <w:rFonts w:hint="eastAsia" w:ascii="方正楷体_GBK" w:hAnsi="方正楷体_GBK" w:eastAsia="方正楷体_GBK" w:cs="方正楷体_GBK"/>
          <w:b/>
          <w:bCs/>
          <w:sz w:val="32"/>
          <w:szCs w:val="24"/>
          <w:lang w:val="en-US" w:eastAsia="zh-CN"/>
        </w:rPr>
      </w:pPr>
      <w:r>
        <w:rPr>
          <w:rFonts w:hint="eastAsia" w:ascii="方正楷体_GBK" w:hAnsi="方正楷体_GBK" w:eastAsia="方正楷体_GBK" w:cs="方正楷体_GBK"/>
          <w:b/>
          <w:bCs/>
          <w:sz w:val="32"/>
          <w:szCs w:val="24"/>
          <w:lang w:val="en-US" w:eastAsia="zh-CN"/>
        </w:rPr>
        <w:t>宁波市青年人才入乡激励与乡村CEO分层分类培育机制研究</w:t>
      </w:r>
    </w:p>
    <w:p>
      <w:pPr>
        <w:pStyle w:val="7"/>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outlineLvl w:val="0"/>
        <w:rPr>
          <w:rFonts w:hint="eastAsia" w:ascii="方正楷体_GBK" w:hAnsi="方正楷体_GBK" w:eastAsia="方正楷体_GBK" w:cs="方正楷体_GBK"/>
          <w:b/>
          <w:bCs/>
          <w:sz w:val="32"/>
          <w:szCs w:val="24"/>
          <w:lang w:val="en-US" w:eastAsia="zh-CN"/>
        </w:rPr>
      </w:pPr>
      <w:r>
        <w:rPr>
          <w:rFonts w:hint="default" w:ascii="Times New Roman" w:hAnsi="Times New Roman" w:eastAsia="CESI黑体-GB2312" w:cs="Times New Roman"/>
          <w:color w:val="auto"/>
          <w:kern w:val="2"/>
          <w:sz w:val="32"/>
          <w:szCs w:val="32"/>
          <w:lang w:val="en-US" w:eastAsia="zh-CN" w:bidi="ar-SA"/>
        </w:rPr>
        <w:t>（课题编号NBSN202</w:t>
      </w:r>
      <w:r>
        <w:rPr>
          <w:rFonts w:hint="eastAsia" w:ascii="Times New Roman" w:hAnsi="Times New Roman" w:eastAsia="CESI黑体-GB2312" w:cs="Times New Roman"/>
          <w:color w:val="auto"/>
          <w:kern w:val="2"/>
          <w:sz w:val="32"/>
          <w:szCs w:val="32"/>
          <w:lang w:val="en-US" w:eastAsia="zh-CN" w:bidi="ar-SA"/>
        </w:rPr>
        <w:t>5</w:t>
      </w:r>
      <w:r>
        <w:rPr>
          <w:rFonts w:hint="default" w:ascii="Times New Roman" w:hAnsi="Times New Roman" w:eastAsia="CESI黑体-GB2312" w:cs="Times New Roman"/>
          <w:color w:val="auto"/>
          <w:kern w:val="2"/>
          <w:sz w:val="32"/>
          <w:szCs w:val="32"/>
          <w:lang w:val="en-US" w:eastAsia="zh-CN" w:bidi="ar-SA"/>
        </w:rPr>
        <w:t>0</w:t>
      </w:r>
      <w:r>
        <w:rPr>
          <w:rFonts w:hint="eastAsia" w:ascii="Times New Roman" w:hAnsi="Times New Roman" w:eastAsia="CESI黑体-GB2312" w:cs="Times New Roman"/>
          <w:color w:val="auto"/>
          <w:kern w:val="2"/>
          <w:sz w:val="32"/>
          <w:szCs w:val="32"/>
          <w:lang w:val="en-US" w:eastAsia="zh-CN" w:bidi="ar-SA"/>
        </w:rPr>
        <w:t>1</w:t>
      </w:r>
      <w:r>
        <w:rPr>
          <w:rFonts w:hint="default" w:ascii="Times New Roman" w:hAnsi="Times New Roman" w:eastAsia="CESI黑体-GB2312" w:cs="Times New Roman"/>
          <w:color w:val="auto"/>
          <w:kern w:val="2"/>
          <w:sz w:val="32"/>
          <w:szCs w:val="32"/>
          <w:lang w:val="en-US" w:eastAsia="zh-CN" w:bidi="ar-SA"/>
        </w:rPr>
        <w:t>0</w:t>
      </w:r>
      <w:r>
        <w:rPr>
          <w:rFonts w:hint="eastAsia" w:ascii="Times New Roman" w:hAnsi="Times New Roman" w:eastAsia="CESI黑体-GB2312" w:cs="Times New Roman"/>
          <w:color w:val="auto"/>
          <w:kern w:val="2"/>
          <w:sz w:val="32"/>
          <w:szCs w:val="32"/>
          <w:lang w:val="en-US" w:eastAsia="zh-CN" w:bidi="ar-SA"/>
        </w:rPr>
        <w:t>3</w:t>
      </w:r>
      <w:r>
        <w:rPr>
          <w:rFonts w:hint="default" w:ascii="Times New Roman" w:hAnsi="Times New Roman" w:eastAsia="CESI黑体-GB2312" w:cs="Times New Roman"/>
          <w:color w:val="auto"/>
          <w:kern w:val="2"/>
          <w:sz w:val="32"/>
          <w:szCs w:val="32"/>
          <w:lang w:val="en-US" w:eastAsia="zh-CN" w:bidi="ar-SA"/>
        </w:rPr>
        <w:t>）</w:t>
      </w:r>
    </w:p>
    <w:p>
      <w:pPr>
        <w:widowControl w:val="0"/>
        <w:numPr>
          <w:ilvl w:val="0"/>
          <w:numId w:val="0"/>
        </w:numPr>
        <w:ind w:firstLine="640" w:firstLineChars="200"/>
        <w:jc w:val="both"/>
        <w:rPr>
          <w:rFonts w:hint="eastAsia" w:ascii="CESI黑体-GB2312" w:hAnsi="CESI黑体-GB2312" w:eastAsia="CESI黑体-GB2312" w:cs="CESI黑体-GB2312"/>
          <w:sz w:val="32"/>
          <w:szCs w:val="24"/>
          <w:lang w:val="en-US" w:eastAsia="zh-CN"/>
        </w:rPr>
      </w:pPr>
      <w:r>
        <w:rPr>
          <w:rFonts w:hint="default" w:ascii="Times New Roman" w:hAnsi="Times New Roman" w:eastAsia="CESI仿宋-GB2312" w:cs="Times New Roman"/>
          <w:sz w:val="32"/>
          <w:szCs w:val="24"/>
          <w:lang w:val="en-US" w:eastAsia="zh-CN"/>
        </w:rPr>
        <w:t>通过政策梳理和实证调研，聚焦宁波市青年人才入乡及乡村CEO培育的发展现状、发展趋势和发展需求，系统分析青年人才入乡与乡村CEO群体在培育模式、激励机制和政策保障等维度的实施瓶颈，在总结提炼实践经验与</w:t>
      </w:r>
      <w:r>
        <w:rPr>
          <w:rFonts w:hint="eastAsia" w:ascii="Times New Roman" w:hAnsi="Times New Roman" w:eastAsia="CESI仿宋-GB2312" w:cs="Times New Roman"/>
          <w:sz w:val="32"/>
          <w:szCs w:val="24"/>
          <w:lang w:val="en-US" w:eastAsia="zh-CN"/>
        </w:rPr>
        <w:t>典型</w:t>
      </w:r>
      <w:r>
        <w:rPr>
          <w:rFonts w:hint="default" w:ascii="Times New Roman" w:hAnsi="Times New Roman" w:eastAsia="CESI仿宋-GB2312" w:cs="Times New Roman"/>
          <w:sz w:val="32"/>
          <w:szCs w:val="24"/>
          <w:lang w:val="en-US" w:eastAsia="zh-CN"/>
        </w:rPr>
        <w:t>案例的基础上，研究提出宁波市加强青年入乡“引育用留”的全链条机制与加强乡村CEO分层</w:t>
      </w:r>
      <w:r>
        <w:rPr>
          <w:rFonts w:hint="eastAsia" w:ascii="CESI仿宋-GB2312" w:hAnsi="CESI仿宋-GB2312" w:eastAsia="CESI仿宋-GB2312" w:cs="CESI仿宋-GB2312"/>
          <w:sz w:val="32"/>
          <w:szCs w:val="24"/>
          <w:lang w:val="en-US" w:eastAsia="zh-CN"/>
        </w:rPr>
        <w:t>分类培育的目标任务、创新措施和对策建议。</w:t>
      </w:r>
    </w:p>
    <w:p>
      <w:pPr>
        <w:numPr>
          <w:ilvl w:val="0"/>
          <w:numId w:val="1"/>
        </w:numPr>
        <w:ind w:left="0" w:leftChars="0" w:firstLine="642" w:firstLineChars="200"/>
        <w:jc w:val="both"/>
        <w:rPr>
          <w:rFonts w:hint="eastAsia" w:ascii="方正楷体_GBK" w:hAnsi="方正楷体_GBK" w:eastAsia="方正楷体_GBK" w:cs="方正楷体_GBK"/>
          <w:b/>
          <w:bCs/>
          <w:sz w:val="32"/>
          <w:szCs w:val="24"/>
          <w:lang w:val="en-US" w:eastAsia="zh-CN"/>
        </w:rPr>
      </w:pPr>
      <w:r>
        <w:rPr>
          <w:rFonts w:hint="eastAsia" w:ascii="方正楷体_GBK" w:hAnsi="方正楷体_GBK" w:eastAsia="方正楷体_GBK" w:cs="方正楷体_GBK"/>
          <w:b/>
          <w:bCs/>
          <w:sz w:val="32"/>
          <w:szCs w:val="24"/>
          <w:lang w:val="en-US" w:eastAsia="zh-CN"/>
        </w:rPr>
        <w:t>宁波市农业特色产业竞争力比较研究</w:t>
      </w:r>
    </w:p>
    <w:p>
      <w:pPr>
        <w:pStyle w:val="7"/>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outlineLvl w:val="0"/>
        <w:rPr>
          <w:rFonts w:hint="eastAsia" w:ascii="方正楷体_GBK" w:hAnsi="方正楷体_GBK" w:eastAsia="方正楷体_GBK" w:cs="方正楷体_GBK"/>
          <w:b/>
          <w:bCs/>
          <w:sz w:val="32"/>
          <w:szCs w:val="24"/>
          <w:lang w:val="en-US" w:eastAsia="zh-CN"/>
        </w:rPr>
      </w:pPr>
      <w:r>
        <w:rPr>
          <w:rFonts w:hint="default" w:ascii="Times New Roman" w:hAnsi="Times New Roman" w:eastAsia="CESI黑体-GB2312" w:cs="Times New Roman"/>
          <w:color w:val="auto"/>
          <w:kern w:val="2"/>
          <w:sz w:val="32"/>
          <w:szCs w:val="32"/>
          <w:lang w:val="en-US" w:eastAsia="zh-CN" w:bidi="ar-SA"/>
        </w:rPr>
        <w:t>（课题编号NBSN202</w:t>
      </w:r>
      <w:r>
        <w:rPr>
          <w:rFonts w:hint="eastAsia" w:ascii="Times New Roman" w:hAnsi="Times New Roman" w:eastAsia="CESI黑体-GB2312" w:cs="Times New Roman"/>
          <w:color w:val="auto"/>
          <w:kern w:val="2"/>
          <w:sz w:val="32"/>
          <w:szCs w:val="32"/>
          <w:lang w:val="en-US" w:eastAsia="zh-CN" w:bidi="ar-SA"/>
        </w:rPr>
        <w:t>5</w:t>
      </w:r>
      <w:r>
        <w:rPr>
          <w:rFonts w:hint="default" w:ascii="Times New Roman" w:hAnsi="Times New Roman" w:eastAsia="CESI黑体-GB2312" w:cs="Times New Roman"/>
          <w:color w:val="auto"/>
          <w:kern w:val="2"/>
          <w:sz w:val="32"/>
          <w:szCs w:val="32"/>
          <w:lang w:val="en-US" w:eastAsia="zh-CN" w:bidi="ar-SA"/>
        </w:rPr>
        <w:t>0</w:t>
      </w:r>
      <w:r>
        <w:rPr>
          <w:rFonts w:hint="eastAsia" w:ascii="Times New Roman" w:hAnsi="Times New Roman" w:eastAsia="CESI黑体-GB2312" w:cs="Times New Roman"/>
          <w:color w:val="auto"/>
          <w:kern w:val="2"/>
          <w:sz w:val="32"/>
          <w:szCs w:val="32"/>
          <w:lang w:val="en-US" w:eastAsia="zh-CN" w:bidi="ar-SA"/>
        </w:rPr>
        <w:t>1</w:t>
      </w:r>
      <w:r>
        <w:rPr>
          <w:rFonts w:hint="default" w:ascii="Times New Roman" w:hAnsi="Times New Roman" w:eastAsia="CESI黑体-GB2312" w:cs="Times New Roman"/>
          <w:color w:val="auto"/>
          <w:kern w:val="2"/>
          <w:sz w:val="32"/>
          <w:szCs w:val="32"/>
          <w:lang w:val="en-US" w:eastAsia="zh-CN" w:bidi="ar-SA"/>
        </w:rPr>
        <w:t>0</w:t>
      </w:r>
      <w:r>
        <w:rPr>
          <w:rFonts w:hint="eastAsia" w:ascii="Times New Roman" w:hAnsi="Times New Roman" w:eastAsia="CESI黑体-GB2312" w:cs="Times New Roman"/>
          <w:color w:val="auto"/>
          <w:kern w:val="2"/>
          <w:sz w:val="32"/>
          <w:szCs w:val="32"/>
          <w:lang w:val="en-US" w:eastAsia="zh-CN" w:bidi="ar-SA"/>
        </w:rPr>
        <w:t>4</w:t>
      </w:r>
      <w:r>
        <w:rPr>
          <w:rFonts w:hint="default" w:ascii="Times New Roman" w:hAnsi="Times New Roman" w:eastAsia="CESI黑体-GB2312" w:cs="Times New Roman"/>
          <w:color w:val="auto"/>
          <w:kern w:val="2"/>
          <w:sz w:val="32"/>
          <w:szCs w:val="32"/>
          <w:lang w:val="en-US" w:eastAsia="zh-CN" w:bidi="ar-SA"/>
        </w:rPr>
        <w:t>）</w:t>
      </w:r>
    </w:p>
    <w:p>
      <w:pPr>
        <w:widowControl w:val="0"/>
        <w:numPr>
          <w:ilvl w:val="0"/>
          <w:numId w:val="0"/>
        </w:numPr>
        <w:ind w:firstLine="640" w:firstLineChars="200"/>
        <w:jc w:val="both"/>
        <w:rPr>
          <w:rFonts w:hint="default" w:ascii="CESI仿宋-GB2312" w:hAnsi="CESI仿宋-GB2312" w:eastAsia="CESI仿宋-GB2312" w:cs="CESI仿宋-GB2312"/>
          <w:sz w:val="32"/>
          <w:szCs w:val="24"/>
          <w:lang w:val="en-US" w:eastAsia="zh-CN"/>
        </w:rPr>
      </w:pPr>
      <w:r>
        <w:rPr>
          <w:rFonts w:hint="default" w:ascii="CESI仿宋-GB2312" w:hAnsi="CESI仿宋-GB2312" w:eastAsia="CESI仿宋-GB2312" w:cs="CESI仿宋-GB2312"/>
          <w:sz w:val="32"/>
          <w:szCs w:val="24"/>
          <w:lang w:val="en-US" w:eastAsia="zh-CN"/>
        </w:rPr>
        <w:t>聚焦宁波市标志性“土、特、产”，围绕打造农业领域“专精特新”目标，系统梳理其相关产业链主体规模、产值贡献及品牌矩阵情况，通过对比浙江省内、全国乃至全球范围同类产业现状，量化分析宁波农业特色产业在市场份额、品牌影响力、技术渗透率等细分领域的关键指标，精准识别宁波农业特色产业的核心竞争力与瓶颈短板，并从地标品牌矩阵构建、全产业链价值提升、数字化营销体系创新等方面提出进一步提升宁波农业特色产业竞争力的对策建议。</w:t>
      </w:r>
    </w:p>
    <w:p>
      <w:pPr>
        <w:numPr>
          <w:ilvl w:val="0"/>
          <w:numId w:val="0"/>
        </w:numPr>
        <w:jc w:val="both"/>
        <w:rPr>
          <w:rFonts w:hint="eastAsia" w:ascii="CESI黑体-GB2312" w:hAnsi="CESI黑体-GB2312" w:eastAsia="CESI黑体-GB2312" w:cs="CESI黑体-GB2312"/>
          <w:sz w:val="32"/>
          <w:szCs w:val="24"/>
          <w:lang w:val="en-US" w:eastAsia="zh-CN"/>
        </w:rPr>
      </w:pPr>
    </w:p>
    <w:p>
      <w:pPr>
        <w:numPr>
          <w:ilvl w:val="0"/>
          <w:numId w:val="0"/>
        </w:numPr>
        <w:ind w:firstLine="640" w:firstLineChars="200"/>
        <w:jc w:val="both"/>
        <w:rPr>
          <w:rFonts w:hint="eastAsia" w:ascii="CESI黑体-GB2312" w:hAnsi="CESI黑体-GB2312" w:eastAsia="CESI黑体-GB2312" w:cs="CESI黑体-GB2312"/>
          <w:sz w:val="32"/>
          <w:szCs w:val="24"/>
          <w:lang w:val="en-US" w:eastAsia="zh-CN"/>
        </w:rPr>
      </w:pPr>
      <w:r>
        <w:rPr>
          <w:rFonts w:hint="eastAsia" w:ascii="CESI黑体-GB2312" w:hAnsi="CESI黑体-GB2312" w:eastAsia="CESI黑体-GB2312" w:cs="CESI黑体-GB2312"/>
          <w:sz w:val="32"/>
          <w:szCs w:val="24"/>
          <w:lang w:val="en-US" w:eastAsia="zh-CN"/>
        </w:rPr>
        <w:t>二、一般课题</w:t>
      </w:r>
    </w:p>
    <w:p>
      <w:pPr>
        <w:numPr>
          <w:ilvl w:val="0"/>
          <w:numId w:val="0"/>
        </w:numPr>
        <w:ind w:firstLine="642" w:firstLineChars="200"/>
        <w:jc w:val="both"/>
        <w:rPr>
          <w:rFonts w:hint="eastAsia" w:ascii="方正楷体_GBK" w:hAnsi="方正楷体_GBK" w:eastAsia="方正楷体_GBK" w:cs="方正楷体_GBK"/>
          <w:b/>
          <w:bCs/>
          <w:sz w:val="32"/>
          <w:szCs w:val="24"/>
          <w:lang w:val="en-US" w:eastAsia="zh-CN"/>
        </w:rPr>
      </w:pPr>
      <w:r>
        <w:rPr>
          <w:rFonts w:hint="eastAsia" w:ascii="方正楷体_GBK" w:hAnsi="方正楷体_GBK" w:eastAsia="方正楷体_GBK" w:cs="方正楷体_GBK"/>
          <w:b/>
          <w:bCs/>
          <w:sz w:val="32"/>
          <w:szCs w:val="24"/>
          <w:lang w:val="en-US" w:eastAsia="zh-CN"/>
        </w:rPr>
        <w:t>（一）宁波市新型农业经营主体提质增效带动小农户增收研究</w:t>
      </w:r>
      <w:bookmarkStart w:id="0" w:name="_GoBack"/>
      <w:bookmarkEnd w:id="0"/>
    </w:p>
    <w:p>
      <w:pPr>
        <w:pStyle w:val="7"/>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outlineLvl w:val="0"/>
        <w:rPr>
          <w:rFonts w:hint="eastAsia" w:ascii="方正楷体_GBK" w:hAnsi="方正楷体_GBK" w:eastAsia="方正楷体_GBK" w:cs="方正楷体_GBK"/>
          <w:b/>
          <w:bCs/>
          <w:sz w:val="32"/>
          <w:szCs w:val="24"/>
          <w:lang w:val="en-US" w:eastAsia="zh-CN"/>
        </w:rPr>
      </w:pPr>
      <w:r>
        <w:rPr>
          <w:rFonts w:hint="default" w:ascii="Times New Roman" w:hAnsi="Times New Roman" w:eastAsia="CESI黑体-GB2312" w:cs="Times New Roman"/>
          <w:color w:val="auto"/>
          <w:kern w:val="2"/>
          <w:sz w:val="32"/>
          <w:szCs w:val="32"/>
          <w:lang w:val="en-US" w:eastAsia="zh-CN" w:bidi="ar-SA"/>
        </w:rPr>
        <w:t>（课题编号NBSN202</w:t>
      </w:r>
      <w:r>
        <w:rPr>
          <w:rFonts w:hint="eastAsia" w:ascii="Times New Roman" w:hAnsi="Times New Roman" w:eastAsia="CESI黑体-GB2312" w:cs="Times New Roman"/>
          <w:color w:val="auto"/>
          <w:kern w:val="2"/>
          <w:sz w:val="32"/>
          <w:szCs w:val="32"/>
          <w:lang w:val="en-US" w:eastAsia="zh-CN" w:bidi="ar-SA"/>
        </w:rPr>
        <w:t>5</w:t>
      </w:r>
      <w:r>
        <w:rPr>
          <w:rFonts w:hint="default" w:ascii="Times New Roman" w:hAnsi="Times New Roman" w:eastAsia="CESI黑体-GB2312" w:cs="Times New Roman"/>
          <w:color w:val="auto"/>
          <w:kern w:val="2"/>
          <w:sz w:val="32"/>
          <w:szCs w:val="32"/>
          <w:lang w:val="en-US" w:eastAsia="zh-CN" w:bidi="ar-SA"/>
        </w:rPr>
        <w:t>0</w:t>
      </w:r>
      <w:r>
        <w:rPr>
          <w:rFonts w:hint="eastAsia" w:ascii="Times New Roman" w:hAnsi="Times New Roman" w:eastAsia="CESI黑体-GB2312" w:cs="Times New Roman"/>
          <w:color w:val="auto"/>
          <w:kern w:val="2"/>
          <w:sz w:val="32"/>
          <w:szCs w:val="32"/>
          <w:lang w:val="en-US" w:eastAsia="zh-CN" w:bidi="ar-SA"/>
        </w:rPr>
        <w:t>2</w:t>
      </w:r>
      <w:r>
        <w:rPr>
          <w:rFonts w:hint="default" w:ascii="Times New Roman" w:hAnsi="Times New Roman" w:eastAsia="CESI黑体-GB2312" w:cs="Times New Roman"/>
          <w:color w:val="auto"/>
          <w:kern w:val="2"/>
          <w:sz w:val="32"/>
          <w:szCs w:val="32"/>
          <w:lang w:val="en-US" w:eastAsia="zh-CN" w:bidi="ar-SA"/>
        </w:rPr>
        <w:t>0</w:t>
      </w:r>
      <w:r>
        <w:rPr>
          <w:rFonts w:hint="eastAsia" w:ascii="Times New Roman" w:hAnsi="Times New Roman" w:eastAsia="CESI黑体-GB2312" w:cs="Times New Roman"/>
          <w:color w:val="auto"/>
          <w:kern w:val="2"/>
          <w:sz w:val="32"/>
          <w:szCs w:val="32"/>
          <w:lang w:val="en-US" w:eastAsia="zh-CN" w:bidi="ar-SA"/>
        </w:rPr>
        <w:t>1</w:t>
      </w:r>
      <w:r>
        <w:rPr>
          <w:rFonts w:hint="default" w:ascii="Times New Roman" w:hAnsi="Times New Roman" w:eastAsia="CESI黑体-GB2312" w:cs="Times New Roman"/>
          <w:color w:val="auto"/>
          <w:kern w:val="2"/>
          <w:sz w:val="32"/>
          <w:szCs w:val="32"/>
          <w:lang w:val="en-US" w:eastAsia="zh-CN" w:bidi="ar-SA"/>
        </w:rPr>
        <w:t>）</w:t>
      </w:r>
    </w:p>
    <w:p>
      <w:pPr>
        <w:widowControl w:val="0"/>
        <w:numPr>
          <w:ilvl w:val="0"/>
          <w:numId w:val="0"/>
        </w:numPr>
        <w:ind w:leftChars="0" w:firstLine="640" w:firstLineChars="200"/>
        <w:jc w:val="both"/>
        <w:rPr>
          <w:rFonts w:hint="eastAsia" w:ascii="方正楷体_GBK" w:hAnsi="方正楷体_GBK" w:eastAsia="方正楷体_GBK" w:cs="方正楷体_GBK"/>
          <w:b/>
          <w:bCs/>
          <w:sz w:val="32"/>
          <w:szCs w:val="24"/>
          <w:lang w:val="en-US" w:eastAsia="zh-CN"/>
        </w:rPr>
      </w:pPr>
      <w:r>
        <w:rPr>
          <w:rFonts w:hint="eastAsia" w:ascii="CESI仿宋-GB2312" w:hAnsi="CESI仿宋-GB2312" w:eastAsia="CESI仿宋-GB2312" w:cs="CESI仿宋-GB2312"/>
          <w:sz w:val="32"/>
          <w:szCs w:val="24"/>
          <w:lang w:val="en-US" w:eastAsia="zh-CN"/>
        </w:rPr>
        <w:t>总结梳理宁波市新型农业经营主体带动小农户增收的典型路径与增收挂钩机制，并分析比较生产型、服务型、加工型、外向型等不同主体在联农带农路径中的差异化优势，研判目前新型农业经营主体提质增效带动小农户增收面临的困难，从完善差异化主体联农机制、强化全产业链利益共享、健全风险共担体系等方面提出系统性的政策建议。</w:t>
      </w:r>
    </w:p>
    <w:p>
      <w:pPr>
        <w:numPr>
          <w:ilvl w:val="0"/>
          <w:numId w:val="0"/>
        </w:numPr>
        <w:ind w:firstLine="642" w:firstLineChars="200"/>
        <w:jc w:val="both"/>
        <w:rPr>
          <w:rFonts w:hint="eastAsia" w:ascii="方正楷体_GBK" w:hAnsi="方正楷体_GBK" w:eastAsia="方正楷体_GBK" w:cs="方正楷体_GBK"/>
          <w:b/>
          <w:bCs/>
          <w:sz w:val="32"/>
          <w:szCs w:val="24"/>
          <w:lang w:val="en-US" w:eastAsia="zh-CN"/>
        </w:rPr>
      </w:pPr>
      <w:r>
        <w:rPr>
          <w:rFonts w:hint="eastAsia" w:ascii="方正楷体_GBK" w:hAnsi="方正楷体_GBK" w:eastAsia="方正楷体_GBK" w:cs="方正楷体_GBK"/>
          <w:b/>
          <w:bCs/>
          <w:sz w:val="32"/>
          <w:szCs w:val="24"/>
          <w:lang w:val="en-US" w:eastAsia="zh-CN"/>
        </w:rPr>
        <w:t>（二）宁波市高质量推进智慧农业实践与对策研究</w:t>
      </w:r>
    </w:p>
    <w:p>
      <w:pPr>
        <w:pStyle w:val="7"/>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outlineLvl w:val="0"/>
        <w:rPr>
          <w:rFonts w:hint="eastAsia" w:ascii="方正楷体_GBK" w:hAnsi="方正楷体_GBK" w:eastAsia="方正楷体_GBK" w:cs="方正楷体_GBK"/>
          <w:b/>
          <w:bCs/>
          <w:sz w:val="32"/>
          <w:szCs w:val="24"/>
          <w:lang w:val="en-US" w:eastAsia="zh-CN"/>
        </w:rPr>
      </w:pPr>
      <w:r>
        <w:rPr>
          <w:rFonts w:hint="default" w:ascii="Times New Roman" w:hAnsi="Times New Roman" w:eastAsia="CESI黑体-GB2312" w:cs="Times New Roman"/>
          <w:color w:val="auto"/>
          <w:kern w:val="2"/>
          <w:sz w:val="32"/>
          <w:szCs w:val="32"/>
          <w:lang w:val="en-US" w:eastAsia="zh-CN" w:bidi="ar-SA"/>
        </w:rPr>
        <w:t>（课题编号NBSN202</w:t>
      </w:r>
      <w:r>
        <w:rPr>
          <w:rFonts w:hint="eastAsia" w:ascii="Times New Roman" w:hAnsi="Times New Roman" w:eastAsia="CESI黑体-GB2312" w:cs="Times New Roman"/>
          <w:color w:val="auto"/>
          <w:kern w:val="2"/>
          <w:sz w:val="32"/>
          <w:szCs w:val="32"/>
          <w:lang w:val="en-US" w:eastAsia="zh-CN" w:bidi="ar-SA"/>
        </w:rPr>
        <w:t>5</w:t>
      </w:r>
      <w:r>
        <w:rPr>
          <w:rFonts w:hint="default" w:ascii="Times New Roman" w:hAnsi="Times New Roman" w:eastAsia="CESI黑体-GB2312" w:cs="Times New Roman"/>
          <w:color w:val="auto"/>
          <w:kern w:val="2"/>
          <w:sz w:val="32"/>
          <w:szCs w:val="32"/>
          <w:lang w:val="en-US" w:eastAsia="zh-CN" w:bidi="ar-SA"/>
        </w:rPr>
        <w:t>0</w:t>
      </w:r>
      <w:r>
        <w:rPr>
          <w:rFonts w:hint="eastAsia" w:ascii="Times New Roman" w:hAnsi="Times New Roman" w:eastAsia="CESI黑体-GB2312" w:cs="Times New Roman"/>
          <w:color w:val="auto"/>
          <w:kern w:val="2"/>
          <w:sz w:val="32"/>
          <w:szCs w:val="32"/>
          <w:lang w:val="en-US" w:eastAsia="zh-CN" w:bidi="ar-SA"/>
        </w:rPr>
        <w:t>2</w:t>
      </w:r>
      <w:r>
        <w:rPr>
          <w:rFonts w:hint="default" w:ascii="Times New Roman" w:hAnsi="Times New Roman" w:eastAsia="CESI黑体-GB2312" w:cs="Times New Roman"/>
          <w:color w:val="auto"/>
          <w:kern w:val="2"/>
          <w:sz w:val="32"/>
          <w:szCs w:val="32"/>
          <w:lang w:val="en-US" w:eastAsia="zh-CN" w:bidi="ar-SA"/>
        </w:rPr>
        <w:t>0</w:t>
      </w:r>
      <w:r>
        <w:rPr>
          <w:rFonts w:hint="eastAsia" w:ascii="Times New Roman" w:hAnsi="Times New Roman" w:eastAsia="CESI黑体-GB2312" w:cs="Times New Roman"/>
          <w:color w:val="auto"/>
          <w:kern w:val="2"/>
          <w:sz w:val="32"/>
          <w:szCs w:val="32"/>
          <w:lang w:val="en-US" w:eastAsia="zh-CN" w:bidi="ar-SA"/>
        </w:rPr>
        <w:t>2</w:t>
      </w:r>
      <w:r>
        <w:rPr>
          <w:rFonts w:hint="default" w:ascii="Times New Roman" w:hAnsi="Times New Roman" w:eastAsia="CESI黑体-GB2312" w:cs="Times New Roman"/>
          <w:color w:val="auto"/>
          <w:kern w:val="2"/>
          <w:sz w:val="32"/>
          <w:szCs w:val="32"/>
          <w:lang w:val="en-US" w:eastAsia="zh-CN" w:bidi="ar-SA"/>
        </w:rPr>
        <w:t>）</w:t>
      </w:r>
    </w:p>
    <w:p>
      <w:pPr>
        <w:numPr>
          <w:ilvl w:val="0"/>
          <w:numId w:val="0"/>
        </w:numPr>
        <w:ind w:firstLine="640" w:firstLineChars="200"/>
        <w:jc w:val="both"/>
        <w:rPr>
          <w:rFonts w:hint="eastAsia" w:ascii="CESI仿宋-GB2312" w:hAnsi="CESI仿宋-GB2312" w:eastAsia="CESI仿宋-GB2312" w:cs="CESI仿宋-GB2312"/>
          <w:sz w:val="32"/>
          <w:szCs w:val="24"/>
          <w:lang w:val="en-US" w:eastAsia="zh-CN"/>
        </w:rPr>
      </w:pPr>
      <w:r>
        <w:rPr>
          <w:rFonts w:hint="eastAsia" w:ascii="CESI仿宋-GB2312" w:hAnsi="CESI仿宋-GB2312" w:eastAsia="CESI仿宋-GB2312" w:cs="CESI仿宋-GB2312"/>
          <w:sz w:val="32"/>
          <w:szCs w:val="24"/>
          <w:lang w:val="en-US" w:eastAsia="zh-CN"/>
        </w:rPr>
        <w:t>通过政策梳理和实证调研，总结提炼宁波市发展智慧农业的创新做法，分析目前宁波市智慧农业在不同产业、不同场景下的发展现状，研判目前在推进设施农业智慧化改造、促进管理服务数字化转型、加快创新应用融合发展等过程中存在的困难，通过总结、对比国内外智慧农业发展经验与差距，研究提出宁波市发展智慧农业的总体构想、发展路径、保障措施。</w:t>
      </w:r>
    </w:p>
    <w:p>
      <w:pPr>
        <w:numPr>
          <w:ilvl w:val="0"/>
          <w:numId w:val="0"/>
        </w:numPr>
        <w:ind w:firstLine="642" w:firstLineChars="200"/>
        <w:jc w:val="both"/>
        <w:rPr>
          <w:rFonts w:hint="eastAsia" w:ascii="方正楷体_GBK" w:hAnsi="方正楷体_GBK" w:eastAsia="方正楷体_GBK" w:cs="方正楷体_GBK"/>
          <w:b/>
          <w:bCs/>
          <w:sz w:val="32"/>
          <w:szCs w:val="24"/>
          <w:lang w:val="en-US" w:eastAsia="zh-CN"/>
        </w:rPr>
      </w:pPr>
      <w:r>
        <w:rPr>
          <w:rFonts w:hint="eastAsia" w:ascii="方正楷体_GBK" w:hAnsi="方正楷体_GBK" w:eastAsia="方正楷体_GBK" w:cs="方正楷体_GBK"/>
          <w:b/>
          <w:bCs/>
          <w:sz w:val="32"/>
          <w:szCs w:val="24"/>
          <w:lang w:val="en-US" w:eastAsia="zh-CN"/>
        </w:rPr>
        <w:t>（三）宁波市农事服务中心高质量联合和联动路径研究</w:t>
      </w:r>
    </w:p>
    <w:p>
      <w:pPr>
        <w:pStyle w:val="7"/>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outlineLvl w:val="0"/>
        <w:rPr>
          <w:rFonts w:hint="eastAsia" w:ascii="方正楷体_GBK" w:hAnsi="方正楷体_GBK" w:eastAsia="方正楷体_GBK" w:cs="方正楷体_GBK"/>
          <w:b/>
          <w:bCs/>
          <w:sz w:val="32"/>
          <w:szCs w:val="24"/>
          <w:lang w:val="en-US" w:eastAsia="zh-CN"/>
        </w:rPr>
      </w:pPr>
      <w:r>
        <w:rPr>
          <w:rFonts w:hint="default" w:ascii="Times New Roman" w:hAnsi="Times New Roman" w:eastAsia="CESI黑体-GB2312" w:cs="Times New Roman"/>
          <w:color w:val="auto"/>
          <w:kern w:val="2"/>
          <w:sz w:val="32"/>
          <w:szCs w:val="32"/>
          <w:lang w:val="en-US" w:eastAsia="zh-CN" w:bidi="ar-SA"/>
        </w:rPr>
        <w:t>（课题编号NBSN202</w:t>
      </w:r>
      <w:r>
        <w:rPr>
          <w:rFonts w:hint="eastAsia" w:ascii="Times New Roman" w:hAnsi="Times New Roman" w:eastAsia="CESI黑体-GB2312" w:cs="Times New Roman"/>
          <w:color w:val="auto"/>
          <w:kern w:val="2"/>
          <w:sz w:val="32"/>
          <w:szCs w:val="32"/>
          <w:lang w:val="en-US" w:eastAsia="zh-CN" w:bidi="ar-SA"/>
        </w:rPr>
        <w:t>5</w:t>
      </w:r>
      <w:r>
        <w:rPr>
          <w:rFonts w:hint="default" w:ascii="Times New Roman" w:hAnsi="Times New Roman" w:eastAsia="CESI黑体-GB2312" w:cs="Times New Roman"/>
          <w:color w:val="auto"/>
          <w:kern w:val="2"/>
          <w:sz w:val="32"/>
          <w:szCs w:val="32"/>
          <w:lang w:val="en-US" w:eastAsia="zh-CN" w:bidi="ar-SA"/>
        </w:rPr>
        <w:t>0</w:t>
      </w:r>
      <w:r>
        <w:rPr>
          <w:rFonts w:hint="eastAsia" w:ascii="Times New Roman" w:hAnsi="Times New Roman" w:eastAsia="CESI黑体-GB2312" w:cs="Times New Roman"/>
          <w:color w:val="auto"/>
          <w:kern w:val="2"/>
          <w:sz w:val="32"/>
          <w:szCs w:val="32"/>
          <w:lang w:val="en-US" w:eastAsia="zh-CN" w:bidi="ar-SA"/>
        </w:rPr>
        <w:t>2</w:t>
      </w:r>
      <w:r>
        <w:rPr>
          <w:rFonts w:hint="default" w:ascii="Times New Roman" w:hAnsi="Times New Roman" w:eastAsia="CESI黑体-GB2312" w:cs="Times New Roman"/>
          <w:color w:val="auto"/>
          <w:kern w:val="2"/>
          <w:sz w:val="32"/>
          <w:szCs w:val="32"/>
          <w:lang w:val="en-US" w:eastAsia="zh-CN" w:bidi="ar-SA"/>
        </w:rPr>
        <w:t>0</w:t>
      </w:r>
      <w:r>
        <w:rPr>
          <w:rFonts w:hint="eastAsia" w:ascii="Times New Roman" w:hAnsi="Times New Roman" w:eastAsia="CESI黑体-GB2312" w:cs="Times New Roman"/>
          <w:color w:val="auto"/>
          <w:kern w:val="2"/>
          <w:sz w:val="32"/>
          <w:szCs w:val="32"/>
          <w:lang w:val="en-US" w:eastAsia="zh-CN" w:bidi="ar-SA"/>
        </w:rPr>
        <w:t>3</w:t>
      </w:r>
      <w:r>
        <w:rPr>
          <w:rFonts w:hint="default" w:ascii="Times New Roman" w:hAnsi="Times New Roman" w:eastAsia="CESI黑体-GB2312" w:cs="Times New Roman"/>
          <w:color w:val="auto"/>
          <w:kern w:val="2"/>
          <w:sz w:val="32"/>
          <w:szCs w:val="32"/>
          <w:lang w:val="en-US" w:eastAsia="zh-CN" w:bidi="ar-SA"/>
        </w:rPr>
        <w:t>）</w:t>
      </w:r>
    </w:p>
    <w:p>
      <w:pPr>
        <w:widowControl w:val="0"/>
        <w:numPr>
          <w:ilvl w:val="0"/>
          <w:numId w:val="0"/>
        </w:numPr>
        <w:ind w:firstLine="640" w:firstLineChars="200"/>
        <w:jc w:val="both"/>
        <w:rPr>
          <w:rFonts w:hint="eastAsia" w:ascii="CESI黑体-GB2312" w:hAnsi="CESI黑体-GB2312" w:eastAsia="CESI黑体-GB2312" w:cs="CESI黑体-GB2312"/>
          <w:sz w:val="32"/>
          <w:szCs w:val="24"/>
          <w:lang w:val="en-US" w:eastAsia="zh-CN"/>
        </w:rPr>
      </w:pPr>
      <w:r>
        <w:rPr>
          <w:rFonts w:hint="eastAsia" w:ascii="CESI仿宋-GB2312" w:hAnsi="CESI仿宋-GB2312" w:eastAsia="CESI仿宋-GB2312" w:cs="CESI仿宋-GB2312"/>
          <w:sz w:val="32"/>
          <w:szCs w:val="24"/>
          <w:lang w:val="en-US" w:eastAsia="zh-CN"/>
        </w:rPr>
        <w:t>为进一步提高宁波市农事服务中心社会化服务质效，在实地调研的基础上，全面梳理宁波市农事服务中心的服务范围、服务内容、服务形式、服务质效等基本情况，聚焦分析各类经营主体在标准化生产托管、新品种技术应用、高端农机设备调度等方面的差异化需求，研究提出以推动跨区域服务资源整合与高效调配、实现农事服务全流程供需精准匹配为目标，构建农事服务中心共享协同联动的实施路径模式、行动方案及保障措施。</w:t>
      </w:r>
    </w:p>
    <w:p>
      <w:pPr>
        <w:numPr>
          <w:ilvl w:val="0"/>
          <w:numId w:val="0"/>
        </w:numPr>
        <w:ind w:firstLine="642" w:firstLineChars="200"/>
        <w:jc w:val="both"/>
        <w:rPr>
          <w:rFonts w:hint="eastAsia" w:ascii="方正楷体_GBK" w:hAnsi="方正楷体_GBK" w:eastAsia="方正楷体_GBK" w:cs="方正楷体_GBK"/>
          <w:b/>
          <w:bCs/>
          <w:sz w:val="32"/>
          <w:szCs w:val="24"/>
          <w:lang w:val="en-US" w:eastAsia="zh-CN"/>
        </w:rPr>
      </w:pPr>
      <w:r>
        <w:rPr>
          <w:rFonts w:hint="eastAsia" w:ascii="方正楷体_GBK" w:hAnsi="方正楷体_GBK" w:eastAsia="方正楷体_GBK" w:cs="方正楷体_GBK"/>
          <w:b/>
          <w:bCs/>
          <w:sz w:val="32"/>
          <w:szCs w:val="24"/>
          <w:lang w:val="en-US" w:eastAsia="zh-CN"/>
        </w:rPr>
        <w:t>（四）宁波市乡村片区组团运营路径研究</w:t>
      </w:r>
    </w:p>
    <w:p>
      <w:pPr>
        <w:pStyle w:val="7"/>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outlineLvl w:val="0"/>
        <w:rPr>
          <w:rFonts w:hint="eastAsia" w:ascii="方正楷体_GBK" w:hAnsi="方正楷体_GBK" w:eastAsia="方正楷体_GBK" w:cs="方正楷体_GBK"/>
          <w:b/>
          <w:bCs/>
          <w:sz w:val="32"/>
          <w:szCs w:val="24"/>
          <w:lang w:val="en-US" w:eastAsia="zh-CN"/>
        </w:rPr>
      </w:pPr>
      <w:r>
        <w:rPr>
          <w:rFonts w:hint="default" w:ascii="Times New Roman" w:hAnsi="Times New Roman" w:eastAsia="CESI黑体-GB2312" w:cs="Times New Roman"/>
          <w:color w:val="auto"/>
          <w:kern w:val="2"/>
          <w:sz w:val="32"/>
          <w:szCs w:val="32"/>
          <w:lang w:val="en-US" w:eastAsia="zh-CN" w:bidi="ar-SA"/>
        </w:rPr>
        <w:t>（课题编号NBSN202</w:t>
      </w:r>
      <w:r>
        <w:rPr>
          <w:rFonts w:hint="eastAsia" w:ascii="Times New Roman" w:hAnsi="Times New Roman" w:eastAsia="CESI黑体-GB2312" w:cs="Times New Roman"/>
          <w:color w:val="auto"/>
          <w:kern w:val="2"/>
          <w:sz w:val="32"/>
          <w:szCs w:val="32"/>
          <w:lang w:val="en-US" w:eastAsia="zh-CN" w:bidi="ar-SA"/>
        </w:rPr>
        <w:t>5</w:t>
      </w:r>
      <w:r>
        <w:rPr>
          <w:rFonts w:hint="default" w:ascii="Times New Roman" w:hAnsi="Times New Roman" w:eastAsia="CESI黑体-GB2312" w:cs="Times New Roman"/>
          <w:color w:val="auto"/>
          <w:kern w:val="2"/>
          <w:sz w:val="32"/>
          <w:szCs w:val="32"/>
          <w:lang w:val="en-US" w:eastAsia="zh-CN" w:bidi="ar-SA"/>
        </w:rPr>
        <w:t>0</w:t>
      </w:r>
      <w:r>
        <w:rPr>
          <w:rFonts w:hint="eastAsia" w:ascii="Times New Roman" w:hAnsi="Times New Roman" w:eastAsia="CESI黑体-GB2312" w:cs="Times New Roman"/>
          <w:color w:val="auto"/>
          <w:kern w:val="2"/>
          <w:sz w:val="32"/>
          <w:szCs w:val="32"/>
          <w:lang w:val="en-US" w:eastAsia="zh-CN" w:bidi="ar-SA"/>
        </w:rPr>
        <w:t>2</w:t>
      </w:r>
      <w:r>
        <w:rPr>
          <w:rFonts w:hint="default" w:ascii="Times New Roman" w:hAnsi="Times New Roman" w:eastAsia="CESI黑体-GB2312" w:cs="Times New Roman"/>
          <w:color w:val="auto"/>
          <w:kern w:val="2"/>
          <w:sz w:val="32"/>
          <w:szCs w:val="32"/>
          <w:lang w:val="en-US" w:eastAsia="zh-CN" w:bidi="ar-SA"/>
        </w:rPr>
        <w:t>0</w:t>
      </w:r>
      <w:r>
        <w:rPr>
          <w:rFonts w:hint="eastAsia" w:ascii="Times New Roman" w:hAnsi="Times New Roman" w:eastAsia="CESI黑体-GB2312" w:cs="Times New Roman"/>
          <w:color w:val="auto"/>
          <w:kern w:val="2"/>
          <w:sz w:val="32"/>
          <w:szCs w:val="32"/>
          <w:lang w:val="en-US" w:eastAsia="zh-CN" w:bidi="ar-SA"/>
        </w:rPr>
        <w:t>4</w:t>
      </w:r>
      <w:r>
        <w:rPr>
          <w:rFonts w:hint="default" w:ascii="Times New Roman" w:hAnsi="Times New Roman" w:eastAsia="CESI黑体-GB2312" w:cs="Times New Roman"/>
          <w:color w:val="auto"/>
          <w:kern w:val="2"/>
          <w:sz w:val="32"/>
          <w:szCs w:val="32"/>
          <w:lang w:val="en-US" w:eastAsia="zh-CN" w:bidi="ar-SA"/>
        </w:rPr>
        <w:t>）</w:t>
      </w:r>
    </w:p>
    <w:p>
      <w:pPr>
        <w:widowControl w:val="0"/>
        <w:numPr>
          <w:ilvl w:val="0"/>
          <w:numId w:val="0"/>
        </w:numPr>
        <w:ind w:firstLine="640" w:firstLineChars="200"/>
        <w:jc w:val="both"/>
        <w:rPr>
          <w:rFonts w:hint="eastAsia" w:ascii="CESI仿宋-GB2312" w:hAnsi="CESI仿宋-GB2312" w:eastAsia="CESI仿宋-GB2312" w:cs="CESI仿宋-GB2312"/>
          <w:sz w:val="32"/>
          <w:szCs w:val="24"/>
          <w:lang w:val="en-US" w:eastAsia="zh-CN"/>
        </w:rPr>
      </w:pPr>
      <w:r>
        <w:rPr>
          <w:rFonts w:hint="eastAsia" w:ascii="CESI仿宋-GB2312" w:hAnsi="CESI仿宋-GB2312" w:eastAsia="CESI仿宋-GB2312" w:cs="CESI仿宋-GB2312"/>
          <w:sz w:val="32"/>
          <w:szCs w:val="24"/>
          <w:lang w:val="en-US" w:eastAsia="zh-CN"/>
        </w:rPr>
        <w:t>基于理论研究和实地调研，全面分析宁波市乡村片区组团运营的主要模式、各典型片区在解决跨村协同合作、片区利益联结、基础设施共建和公共服务一体化等问题方面的创新做法，明晰各类主体在片区组团运营中的实际问题与需求，在系统性总结省内片区组团运营实践案例经验的基础上，研究提出宁波市高质量推进乡村片区组团运营的实现路径、对策建议和保障措施。</w:t>
      </w:r>
    </w:p>
    <w:p>
      <w:pPr>
        <w:widowControl w:val="0"/>
        <w:numPr>
          <w:ilvl w:val="0"/>
          <w:numId w:val="0"/>
        </w:numPr>
        <w:ind w:firstLine="640" w:firstLineChars="200"/>
        <w:jc w:val="both"/>
        <w:rPr>
          <w:rFonts w:hint="eastAsia" w:ascii="CESI黑体-GB2312" w:hAnsi="CESI黑体-GB2312" w:eastAsia="CESI黑体-GB2312" w:cs="CESI黑体-GB2312"/>
          <w:sz w:val="32"/>
          <w:szCs w:val="24"/>
          <w:highlight w:val="none"/>
          <w:lang w:val="en-US" w:eastAsia="zh-CN"/>
        </w:rPr>
      </w:pPr>
    </w:p>
    <w:p/>
    <w:sectPr>
      <w:pgSz w:w="11906" w:h="16838"/>
      <w:pgMar w:top="1440" w:right="1800" w:bottom="1440" w:left="1800" w:header="992"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FAC5B"/>
    <w:multiLevelType w:val="singleLevel"/>
    <w:tmpl w:val="3AFFAC5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674572"/>
    <w:rsid w:val="369D37B1"/>
    <w:rsid w:val="44F69599"/>
    <w:rsid w:val="5AFC013C"/>
    <w:rsid w:val="6BEBCD84"/>
    <w:rsid w:val="6FFF52D0"/>
    <w:rsid w:val="7BF7D3DE"/>
    <w:rsid w:val="7DFF6DAC"/>
    <w:rsid w:val="AF674572"/>
    <w:rsid w:val="C7EB45B7"/>
    <w:rsid w:val="CCBD0234"/>
    <w:rsid w:val="CDCD9EFE"/>
    <w:rsid w:val="DF6F7C94"/>
    <w:rsid w:val="DFF86217"/>
    <w:rsid w:val="DFFF2C05"/>
    <w:rsid w:val="E7AB91E9"/>
    <w:rsid w:val="EEFE3B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660"/>
    </w:pPr>
    <w:rPr>
      <w:rFonts w:ascii="仿宋_GB2312" w:eastAsia="仿宋_GB2312"/>
      <w:sz w:val="30"/>
    </w:rPr>
  </w:style>
  <w:style w:type="paragraph" w:styleId="4">
    <w:name w:val="Body Text First Indent 2"/>
    <w:basedOn w:val="3"/>
    <w:qFormat/>
    <w:uiPriority w:val="0"/>
    <w:pPr>
      <w:ind w:firstLine="420" w:firstLineChars="200"/>
    </w:pPr>
    <w:rPr>
      <w:rFonts w:ascii="Calibri" w:eastAsia="宋体"/>
    </w:rPr>
  </w:style>
  <w:style w:type="paragraph" w:customStyle="1" w:styleId="7">
    <w:name w:val="正文首行缩进 21"/>
    <w:basedOn w:val="8"/>
    <w:qFormat/>
    <w:uiPriority w:val="0"/>
    <w:pPr>
      <w:spacing w:line="240" w:lineRule="auto"/>
      <w:ind w:left="0" w:leftChars="0" w:firstLine="420"/>
    </w:pPr>
    <w:rPr>
      <w:rFonts w:eastAsia="仿宋"/>
      <w:sz w:val="24"/>
    </w:rPr>
  </w:style>
  <w:style w:type="paragraph" w:customStyle="1" w:styleId="8">
    <w:name w:val="Body Text Indent1"/>
    <w:basedOn w:val="1"/>
    <w:qFormat/>
    <w:uiPriority w:val="0"/>
    <w:pPr>
      <w:spacing w:after="120"/>
      <w:ind w:left="420" w:leftChars="200"/>
    </w:pPr>
    <w:rPr>
      <w:rFonts w:ascii="Calibri" w:hAnsi="Calibri"/>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1063</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2023-03-06T17:58:00Z</dcterms:created>
  <dc:creator>guest</dc:creator>
  <cp:lastModifiedBy>thtf</cp:lastModifiedBy>
  <cp:lastPrinted>2025-04-29T17:12:15Z</cp:lastPrinted>
  <dcterms:modified xsi:type="dcterms:W3CDTF">2025-04-29T17:13:07Z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8B051B66C1D2137DECEA0D68615EBC6D_42</vt:lpwstr>
  </property>
</Properties>
</file>